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02AD" w14:textId="36A1EC6D" w:rsidR="005C41A3" w:rsidRDefault="00793AD1">
      <w:r>
        <w:t>Hogyan tegyük átláthatóvá</w:t>
      </w:r>
      <w:r w:rsidR="005C41A3">
        <w:t xml:space="preserve"> a nemek közötti bérkülönbségeket a munkahelyeken címmel tartott előadást Csernus Fanni az Amnesty International szervezet nemek közötti egyenlőség szakértője az EU 2023/970 bértranszparencia erősitését célzó irányelvről a KKDSZ több mint 20 tagjának 2025 </w:t>
      </w:r>
      <w:proofErr w:type="gramStart"/>
      <w:r w:rsidR="005C41A3">
        <w:t>November</w:t>
      </w:r>
      <w:proofErr w:type="gramEnd"/>
      <w:r w:rsidR="005C41A3">
        <w:t xml:space="preserve"> 24.-én. </w:t>
      </w:r>
    </w:p>
    <w:p w14:paraId="61FCF48A" w14:textId="77777777" w:rsidR="00F54241" w:rsidRDefault="00F54241"/>
    <w:p w14:paraId="30263338" w14:textId="5B768408" w:rsidR="00F54241" w:rsidRDefault="00F54241" w:rsidP="00F54241">
      <w:pPr>
        <w:jc w:val="center"/>
      </w:pPr>
      <w:r>
        <w:rPr>
          <w:noProof/>
        </w:rPr>
        <w:drawing>
          <wp:inline distT="0" distB="0" distL="0" distR="0" wp14:anchorId="018CFE3F" wp14:editId="5F360104">
            <wp:extent cx="2367100" cy="1260000"/>
            <wp:effectExtent l="0" t="0" r="0" b="0"/>
            <wp:docPr id="1" name="Kép 1" descr="Gender pay gap remains in favor of men in 115 countries, ILOSTAT reveals -  SAFETY4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der pay gap remains in favor of men in 115 countries, ILOSTAT reveals -  SAFETY4SE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1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F3E76" w14:textId="77777777" w:rsidR="00F54241" w:rsidRDefault="00F54241" w:rsidP="00F54241">
      <w:pPr>
        <w:jc w:val="center"/>
      </w:pPr>
    </w:p>
    <w:p w14:paraId="53217DD3" w14:textId="1B9111FE" w:rsidR="00093FD0" w:rsidRDefault="00793AD1" w:rsidP="00E35EC0">
      <w:r>
        <w:t>A nemek közötti bérszakadék a nők és férfiak bére</w:t>
      </w:r>
      <w:r w:rsidR="00D2246F">
        <w:t>i</w:t>
      </w:r>
      <w:r>
        <w:t xml:space="preserve"> közötti átlagos különbséget mutatja, ez jelenle</w:t>
      </w:r>
      <w:r w:rsidR="00EF1726">
        <w:t xml:space="preserve">g az </w:t>
      </w:r>
      <w:r>
        <w:t>E</w:t>
      </w:r>
      <w:r w:rsidR="00E35EC0">
        <w:t xml:space="preserve">urópai Uniós </w:t>
      </w:r>
      <w:r>
        <w:t>statisztikák szerint 17,8 % Magyarországon (ezzel az egyik legmagasabb a különbség, szemben a 12%-os átlaggal).</w:t>
      </w:r>
      <w:r w:rsidR="00D2246F">
        <w:t xml:space="preserve"> </w:t>
      </w:r>
      <w:r>
        <w:t xml:space="preserve">Bár a nők foglalkoztatottsága alapvetően nem rossz </w:t>
      </w:r>
      <w:r w:rsidR="00EF1726">
        <w:t>Magyarországon, ennek</w:t>
      </w:r>
      <w:r>
        <w:t xml:space="preserve"> ellenére 2020 óta folyamatosan növekvő tendenciát mutat a bérszakadék </w:t>
      </w:r>
      <w:r w:rsidR="00EF1726">
        <w:t>(szemben</w:t>
      </w:r>
      <w:r>
        <w:t xml:space="preserve"> az EU többi </w:t>
      </w:r>
      <w:r w:rsidR="00EF1726">
        <w:t>állam</w:t>
      </w:r>
      <w:r w:rsidR="00E35EC0">
        <w:t>ával).</w:t>
      </w:r>
    </w:p>
    <w:p w14:paraId="4DA7DB49" w14:textId="180D70B7" w:rsidR="00156C13" w:rsidRDefault="00093FD0" w:rsidP="00156C13">
      <w:r>
        <w:t xml:space="preserve">A nők kevesebb fizetésének csak az egyik oka a bérdiszkrimináció </w:t>
      </w:r>
      <w:r w:rsidR="00D2246F">
        <w:t>(azaz</w:t>
      </w:r>
      <w:r>
        <w:t xml:space="preserve">, hogy a nők azonos pozícióban kevesebb fizetést kapnak). </w:t>
      </w:r>
      <w:r w:rsidR="00156C13">
        <w:t xml:space="preserve"> A probléma további meghatározó eleme a szakmai szegregáció</w:t>
      </w:r>
      <w:r w:rsidR="00D2246F">
        <w:t xml:space="preserve"> (</w:t>
      </w:r>
      <w:r w:rsidR="00156C13">
        <w:t>azaz, hogy a nők felülreprezentáltak az alacsonyan fizetett szakmákban</w:t>
      </w:r>
      <w:r w:rsidR="00D2246F">
        <w:t>)</w:t>
      </w:r>
      <w:r w:rsidR="00156C13">
        <w:t>,</w:t>
      </w:r>
      <w:r w:rsidR="00E35EC0">
        <w:t xml:space="preserve"> </w:t>
      </w:r>
      <w:r w:rsidR="00156C13">
        <w:t xml:space="preserve">az üvegplafon </w:t>
      </w:r>
      <w:r w:rsidR="00E35EC0">
        <w:t>jelenség (</w:t>
      </w:r>
      <w:r w:rsidR="00D2246F">
        <w:t>hátrányos megkülönböztetés a nők munkahelyi előmenetele terén)</w:t>
      </w:r>
      <w:r w:rsidR="00156C13">
        <w:t>; és a fizetetlen munka egyenlőtlen elosztása</w:t>
      </w:r>
      <w:r w:rsidR="00D2246F">
        <w:t xml:space="preserve"> (a láthatatlan munka nagy részét nők végzik).</w:t>
      </w:r>
      <w:r w:rsidR="00E35EC0">
        <w:t xml:space="preserve"> Ennek a négy tényezőnek az összessége a 18 százalék.</w:t>
      </w:r>
    </w:p>
    <w:p w14:paraId="3A397103" w14:textId="77777777" w:rsidR="00F54241" w:rsidRDefault="00F54241" w:rsidP="00156C13"/>
    <w:p w14:paraId="5777A9C3" w14:textId="1C40855D" w:rsidR="00F54241" w:rsidRDefault="00F54241" w:rsidP="00551727">
      <w:pPr>
        <w:jc w:val="center"/>
      </w:pPr>
      <w:r>
        <w:rPr>
          <w:noProof/>
        </w:rPr>
        <w:drawing>
          <wp:inline distT="0" distB="0" distL="0" distR="0" wp14:anchorId="43C714FC" wp14:editId="32053F3E">
            <wp:extent cx="2238245" cy="1260000"/>
            <wp:effectExtent l="0" t="0" r="0" b="0"/>
            <wp:docPr id="2" name="Kép 2" descr="No More Hiding Pay: The EU's 2026 Salary Rule Will Expose Wage Gap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More Hiding Pay: The EU's 2026 Salary Rule Will Expose Wage Gap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245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CC6B6" w14:textId="7DC89F7C" w:rsidR="00156C13" w:rsidRDefault="00156C13" w:rsidP="00156C13">
      <w:r>
        <w:t xml:space="preserve">2020-2025 közötti időszakra szóló nemi </w:t>
      </w:r>
      <w:r w:rsidR="00E35EC0">
        <w:t>esélyegyelőségi</w:t>
      </w:r>
      <w:r>
        <w:t xml:space="preserve"> stratégia kiemelt részét képezi a bértranszparencia.</w:t>
      </w:r>
      <w:r w:rsidR="00CA2699">
        <w:t xml:space="preserve"> Az irányelv többek között kitér a tájékoztatáshoz való jogra, az egyenlőséggel foglalkozó testület kijelölésére, a munkaügyi felügyelőség feladatkörére, a nemek közötti bérkülönbségről szóló jelentés tartalmára, a munkavállalók képviselőivel folytatott közös bérértékelésre, illetve a jogorvoslati folyamatokra.</w:t>
      </w:r>
    </w:p>
    <w:p w14:paraId="4DF8DE6C" w14:textId="622F04FD" w:rsidR="00551727" w:rsidRDefault="004B58B5" w:rsidP="004B58B5">
      <w:r w:rsidRPr="004B58B5">
        <w:t xml:space="preserve">Az irányelv implementálásának határideje 2026 </w:t>
      </w:r>
      <w:proofErr w:type="gramStart"/>
      <w:r w:rsidRPr="004B58B5">
        <w:t>Júniusa</w:t>
      </w:r>
      <w:proofErr w:type="gramEnd"/>
      <w:r w:rsidRPr="004B58B5">
        <w:t>,</w:t>
      </w:r>
      <w:r w:rsidR="00551727">
        <w:t xml:space="preserve"> azonban a</w:t>
      </w:r>
      <w:r w:rsidR="00551727">
        <w:t xml:space="preserve"> bérszakadékkal kapcsolatos </w:t>
      </w:r>
      <w:r w:rsidR="00551727">
        <w:t xml:space="preserve">első </w:t>
      </w:r>
      <w:r w:rsidR="00551727">
        <w:t>jelentést a legalább 1</w:t>
      </w:r>
      <w:r w:rsidR="00551727">
        <w:t>00</w:t>
      </w:r>
      <w:r w:rsidR="00551727">
        <w:t xml:space="preserve"> munkavállalót foglalkoztató munkáltatóknak 2027. június 7-ig kell átadniuk az erre kijelölt szervnek.</w:t>
      </w:r>
    </w:p>
    <w:p w14:paraId="6BFBFC8F" w14:textId="674F2D30" w:rsidR="0042346E" w:rsidRDefault="0042346E" w:rsidP="0042346E">
      <w:pPr>
        <w:jc w:val="center"/>
      </w:pPr>
      <w:r>
        <w:rPr>
          <w:noProof/>
        </w:rPr>
        <w:lastRenderedPageBreak/>
        <w:drawing>
          <wp:inline distT="0" distB="0" distL="0" distR="0" wp14:anchorId="63857CC7" wp14:editId="51E61A8A">
            <wp:extent cx="1678268" cy="12600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268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DC6C2" w14:textId="1DCFF50E" w:rsidR="00162F4D" w:rsidRDefault="00162F4D" w:rsidP="004B58B5">
      <w:r w:rsidRPr="004B58B5">
        <w:t xml:space="preserve">Az új szabályok értelmében a munkáltatóknak jelentési kötelezettsége </w:t>
      </w:r>
      <w:r w:rsidR="004B58B5" w:rsidRPr="004B58B5">
        <w:t>van, kötelezően</w:t>
      </w:r>
      <w:r w:rsidR="004B58B5">
        <w:t xml:space="preserve"> meg kell osztaniuk a bérekre vonatkozó információkat,</w:t>
      </w:r>
      <w:r w:rsidR="004B58B5" w:rsidRPr="004B58B5">
        <w:t xml:space="preserve"> </w:t>
      </w:r>
      <w:r w:rsidRPr="004B58B5">
        <w:t>és intézkedéseket kell hozniuk, amennyiben a vállalaton belül a nemek közötti bérkülönbség mértéke meghaladja az 5%-ot.</w:t>
      </w:r>
    </w:p>
    <w:p w14:paraId="76CA1E92" w14:textId="77777777" w:rsidR="00DF38C8" w:rsidRDefault="00FA58CE" w:rsidP="004B58B5">
      <w:r>
        <w:t>Az irányelv a jelentés tartalmára vonatkozólag hét pontot határoz meg</w:t>
      </w:r>
      <w:r w:rsidR="00557746">
        <w:t xml:space="preserve">. A nemek közötti bérkülönbség; a nemek közötti bérkülönbség a díjazás kiegészítő vagy változó összetevői tekintetében; nemek közötti medián bérkülönbség; a nemek közötti medián bérkülönbség a díjazás kiegészítő vagy változó összetevői tekintetében; a díjazás részeként kiegészítő vagy változó összetevőket kapó női és férfi munkavállalók aránya; női és férfi munkavállalók aránya az egyes bérsáv-kvartilisekben; a nemek közötti bérkülönbségek a munkavállalók kategóriái szerint, a rendes alapfizetés </w:t>
      </w:r>
      <w:r w:rsidR="00C51BEC">
        <w:t>és a kiegészítő vagy változó összetevők szerinti bontásban.</w:t>
      </w:r>
    </w:p>
    <w:p w14:paraId="51A2E617" w14:textId="7161D94B" w:rsidR="00494DB7" w:rsidRPr="00EA4E4E" w:rsidRDefault="00DF38C8" w:rsidP="004B58B5">
      <w:pPr>
        <w:rPr>
          <w:b/>
          <w:bCs/>
        </w:rPr>
      </w:pPr>
      <w:r w:rsidRPr="00EA4E4E">
        <w:rPr>
          <w:b/>
          <w:bCs/>
        </w:rPr>
        <w:t xml:space="preserve">Az irányelv további javaslatokat tesz arra is, hogy a munkakörök besorolásának rendszerének </w:t>
      </w:r>
      <w:r w:rsidR="00494DB7" w:rsidRPr="00EA4E4E">
        <w:rPr>
          <w:b/>
          <w:bCs/>
        </w:rPr>
        <w:t>újonnani kialakításába</w:t>
      </w:r>
      <w:r w:rsidRPr="00EA4E4E">
        <w:rPr>
          <w:b/>
          <w:bCs/>
        </w:rPr>
        <w:t xml:space="preserve"> vonják be a munkavállalói képviselőket is</w:t>
      </w:r>
      <w:r w:rsidR="00B83F86" w:rsidRPr="00EA4E4E">
        <w:rPr>
          <w:b/>
          <w:bCs/>
        </w:rPr>
        <w:t>, hiszen nekik/nekünk van valódi rálátásu</w:t>
      </w:r>
      <w:r w:rsidR="00E50746" w:rsidRPr="00EA4E4E">
        <w:rPr>
          <w:b/>
          <w:bCs/>
        </w:rPr>
        <w:t>k/rálátásunk, hogy mit is jelent gyakorlati szinten az adott munkakör betöltése.</w:t>
      </w:r>
    </w:p>
    <w:p w14:paraId="1C48885A" w14:textId="6D326F5A" w:rsidR="004137B0" w:rsidRDefault="00494DB7" w:rsidP="004B58B5">
      <w:r>
        <w:t xml:space="preserve">A jelentési </w:t>
      </w:r>
      <w:r w:rsidR="00CA2699" w:rsidRPr="004B58B5">
        <w:t>kötelezettség</w:t>
      </w:r>
      <w:r>
        <w:t xml:space="preserve"> mellett a</w:t>
      </w:r>
      <w:r w:rsidR="00F83B64">
        <w:t>z új irányelv szerint</w:t>
      </w:r>
      <w:r>
        <w:t xml:space="preserve"> tájékoztatási kötelezettsége is van a munk</w:t>
      </w:r>
      <w:r w:rsidR="00F83B64">
        <w:t>áltatónak. A munkavállalóknak (akár a munkavállalói képviselő bevonásával is) joga van tájékoztatást kérni az egyéni bérszintjükről és az átlagos bérszintekről nemek szerinti bontásban azon munkavállalók kategóriái tekintetében, akik velük azonos munkát végeznek.</w:t>
      </w:r>
      <w:r w:rsidR="004F4A31">
        <w:t xml:space="preserve"> Az adatok kikérésében és a jogaik gyakorlásában a munkavállalókat képviselő</w:t>
      </w:r>
      <w:r w:rsidR="004137B0">
        <w:t xml:space="preserve"> (tehát a szakszervezet is)</w:t>
      </w:r>
      <w:r w:rsidR="004F4A31">
        <w:t xml:space="preserve"> képviselheti.</w:t>
      </w:r>
      <w:r w:rsidR="004137B0">
        <w:t xml:space="preserve"> Szakszervezeti szemmel egy másik fontos eleme a tájékoztatásnak a bérnövekedés</w:t>
      </w:r>
      <w:r w:rsidR="00E96943">
        <w:t xml:space="preserve"> </w:t>
      </w:r>
      <w:r w:rsidR="004137B0">
        <w:t xml:space="preserve">feltételeinek </w:t>
      </w:r>
      <w:r w:rsidR="00E96943">
        <w:t>az elérhetősége egy annak megfelelő felületen.</w:t>
      </w:r>
    </w:p>
    <w:p w14:paraId="2B833F26" w14:textId="073FB86D" w:rsidR="00407009" w:rsidRPr="00EA4E4E" w:rsidRDefault="00407009" w:rsidP="004B58B5">
      <w:pPr>
        <w:rPr>
          <w:b/>
          <w:bCs/>
        </w:rPr>
      </w:pPr>
      <w:r w:rsidRPr="00EA4E4E">
        <w:rPr>
          <w:b/>
          <w:bCs/>
        </w:rPr>
        <w:t>Az irányelvek betartásánál a szakszervezeteknek az egyik legfontosabb feladata, hogy emlékeztessék a munkáltatót a tájékoztatási kötelezettségeikre</w:t>
      </w:r>
      <w:r w:rsidR="007279AF" w:rsidRPr="00EA4E4E">
        <w:rPr>
          <w:b/>
          <w:bCs/>
        </w:rPr>
        <w:t>.</w:t>
      </w:r>
    </w:p>
    <w:p w14:paraId="12AC83A8" w14:textId="7C5EAED9" w:rsidR="004137B0" w:rsidRDefault="007279AF" w:rsidP="004B58B5">
      <w:r>
        <w:t>Amennyiben a munkavállalók bármely kategóriájában a női és a férfi munkavállalók átlagos bérszintje között legalább 5 % különbség van, és a különbséget a munkáltató nem indokolta objektív és nemi szempontból semleges kritériumokkal</w:t>
      </w:r>
      <w:r w:rsidR="003F79B7">
        <w:t xml:space="preserve">, akkor a munkáltatónak a bérjelentés benyújtásának időpontjától számítva hat hónapon belül orvosolnia kell azt. </w:t>
      </w:r>
      <w:r w:rsidR="003F79B7" w:rsidRPr="00BA750C">
        <w:rPr>
          <w:b/>
          <w:bCs/>
        </w:rPr>
        <w:t>Ha ezt a csökkentést nem sikerül orvosolnia, akkor a munkáltatónak bérértkelést kell végezni a munkavállalói képviselők bevonásával.</w:t>
      </w:r>
      <w:r w:rsidR="003F79B7">
        <w:t xml:space="preserve"> Bérértékelés célja, hogy azonosítani (és orvosolni) lehessen a női és a férfi munkavállalók díjazási közötti, objektív és nemi szempontból semleges kritériumokkal nem indokolható különbségeket. </w:t>
      </w:r>
    </w:p>
    <w:p w14:paraId="217C25C9" w14:textId="4F35494F" w:rsidR="00F45DE5" w:rsidRDefault="00F45DE5" w:rsidP="00F45DE5">
      <w:pPr>
        <w:rPr>
          <w:shd w:val="clear" w:color="auto" w:fill="FFFFFF"/>
        </w:rPr>
      </w:pPr>
      <w:r>
        <w:t xml:space="preserve">A bérértékelésnek kategóriánkként 7 dolgot kell tartalmaznia: </w:t>
      </w:r>
      <w:r w:rsidRPr="00F45DE5">
        <w:rPr>
          <w:shd w:val="clear" w:color="auto" w:fill="FFFFFF"/>
        </w:rPr>
        <w:t>a n</w:t>
      </w:r>
      <w:r w:rsidRPr="00F45DE5">
        <w:rPr>
          <w:rFonts w:ascii="Calibri" w:hAnsi="Calibri" w:cs="Calibri"/>
          <w:shd w:val="clear" w:color="auto" w:fill="FFFFFF"/>
        </w:rPr>
        <w:t>ő</w:t>
      </w:r>
      <w:r w:rsidRPr="00F45DE5">
        <w:rPr>
          <w:shd w:val="clear" w:color="auto" w:fill="FFFFFF"/>
        </w:rPr>
        <w:t>i és férfi munkavállalók arány</w:t>
      </w:r>
      <w:r>
        <w:rPr>
          <w:shd w:val="clear" w:color="auto" w:fill="FFFFFF"/>
        </w:rPr>
        <w:t>át</w:t>
      </w:r>
      <w:r w:rsidRPr="00F45DE5">
        <w:rPr>
          <w:shd w:val="clear" w:color="auto" w:fill="FFFFFF"/>
        </w:rPr>
        <w:t>;</w:t>
      </w:r>
      <w:r>
        <w:rPr>
          <w:shd w:val="clear" w:color="auto" w:fill="FFFFFF"/>
        </w:rPr>
        <w:t xml:space="preserve"> a </w:t>
      </w:r>
      <w:r w:rsidRPr="00F45DE5">
        <w:rPr>
          <w:shd w:val="clear" w:color="auto" w:fill="FFFFFF"/>
        </w:rPr>
        <w:t>n</w:t>
      </w:r>
      <w:r w:rsidRPr="00F45DE5">
        <w:rPr>
          <w:rFonts w:ascii="Calibri" w:hAnsi="Calibri" w:cs="Calibri"/>
          <w:shd w:val="clear" w:color="auto" w:fill="FFFFFF"/>
        </w:rPr>
        <w:t>ő</w:t>
      </w:r>
      <w:r w:rsidRPr="00F45DE5">
        <w:rPr>
          <w:shd w:val="clear" w:color="auto" w:fill="FFFFFF"/>
        </w:rPr>
        <w:t>i és férfi munkavállalók átlagos bérszintj</w:t>
      </w:r>
      <w:r>
        <w:rPr>
          <w:shd w:val="clear" w:color="auto" w:fill="FFFFFF"/>
        </w:rPr>
        <w:t>ét</w:t>
      </w:r>
      <w:r w:rsidRPr="00F45DE5">
        <w:rPr>
          <w:shd w:val="clear" w:color="auto" w:fill="FFFFFF"/>
        </w:rPr>
        <w:t xml:space="preserve"> és a díjazás</w:t>
      </w:r>
      <w:r>
        <w:rPr>
          <w:shd w:val="clear" w:color="auto" w:fill="FFFFFF"/>
        </w:rPr>
        <w:t>át</w:t>
      </w:r>
      <w:r w:rsidRPr="00F45DE5">
        <w:rPr>
          <w:shd w:val="clear" w:color="auto" w:fill="FFFFFF"/>
        </w:rPr>
        <w:t xml:space="preserve"> kiegészít</w:t>
      </w:r>
      <w:r w:rsidRPr="00F45DE5">
        <w:rPr>
          <w:rFonts w:ascii="Calibri" w:hAnsi="Calibri" w:cs="Calibri"/>
          <w:shd w:val="clear" w:color="auto" w:fill="FFFFFF"/>
        </w:rPr>
        <w:t>ő</w:t>
      </w:r>
      <w:r w:rsidRPr="00F45DE5">
        <w:rPr>
          <w:shd w:val="clear" w:color="auto" w:fill="FFFFFF"/>
        </w:rPr>
        <w:t xml:space="preserve"> vagy változó összetev</w:t>
      </w:r>
      <w:r w:rsidRPr="00F45DE5">
        <w:rPr>
          <w:rFonts w:ascii="Calibri" w:hAnsi="Calibri" w:cs="Calibri"/>
          <w:shd w:val="clear" w:color="auto" w:fill="FFFFFF"/>
        </w:rPr>
        <w:t>ő</w:t>
      </w:r>
      <w:r w:rsidRPr="00F45DE5">
        <w:rPr>
          <w:shd w:val="clear" w:color="auto" w:fill="FFFFFF"/>
        </w:rPr>
        <w:t>i</w:t>
      </w:r>
      <w:r>
        <w:rPr>
          <w:shd w:val="clear" w:color="auto" w:fill="FFFFFF"/>
        </w:rPr>
        <w:t>t</w:t>
      </w:r>
      <w:r w:rsidRPr="00F45DE5">
        <w:rPr>
          <w:shd w:val="clear" w:color="auto" w:fill="FFFFFF"/>
        </w:rPr>
        <w:t>;</w:t>
      </w:r>
      <w:r>
        <w:rPr>
          <w:shd w:val="clear" w:color="auto" w:fill="FFFFFF"/>
        </w:rPr>
        <w:t xml:space="preserve"> a </w:t>
      </w:r>
      <w:r w:rsidRPr="00F45DE5">
        <w:rPr>
          <w:shd w:val="clear" w:color="auto" w:fill="FFFFFF"/>
        </w:rPr>
        <w:t>n</w:t>
      </w:r>
      <w:r w:rsidRPr="00F45DE5">
        <w:rPr>
          <w:rFonts w:ascii="Calibri" w:hAnsi="Calibri" w:cs="Calibri"/>
          <w:shd w:val="clear" w:color="auto" w:fill="FFFFFF"/>
        </w:rPr>
        <w:t>ő</w:t>
      </w:r>
      <w:r w:rsidRPr="00F45DE5">
        <w:rPr>
          <w:shd w:val="clear" w:color="auto" w:fill="FFFFFF"/>
        </w:rPr>
        <w:t>i és férfi munkavállalók átlagos bérszintje közötti különbségek</w:t>
      </w:r>
      <w:r>
        <w:rPr>
          <w:shd w:val="clear" w:color="auto" w:fill="FFFFFF"/>
        </w:rPr>
        <w:t>et</w:t>
      </w:r>
      <w:r w:rsidRPr="00F45DE5">
        <w:rPr>
          <w:shd w:val="clear" w:color="auto" w:fill="FFFFFF"/>
        </w:rPr>
        <w:t>;  az átlagos bérszintek közötti különbségek okai</w:t>
      </w:r>
      <w:r>
        <w:rPr>
          <w:shd w:val="clear" w:color="auto" w:fill="FFFFFF"/>
        </w:rPr>
        <w:t>t</w:t>
      </w:r>
      <w:r w:rsidRPr="00F45DE5">
        <w:rPr>
          <w:shd w:val="clear" w:color="auto" w:fill="FFFFFF"/>
        </w:rPr>
        <w:t xml:space="preserve"> a munkavállalói képvisel</w:t>
      </w:r>
      <w:r w:rsidRPr="00F45DE5">
        <w:rPr>
          <w:rFonts w:ascii="Calibri" w:hAnsi="Calibri" w:cs="Calibri"/>
          <w:shd w:val="clear" w:color="auto" w:fill="FFFFFF"/>
        </w:rPr>
        <w:t>ő</w:t>
      </w:r>
      <w:r w:rsidRPr="00F45DE5">
        <w:rPr>
          <w:shd w:val="clear" w:color="auto" w:fill="FFFFFF"/>
        </w:rPr>
        <w:t xml:space="preserve">k és a munkáltató által közösen megállapított objektív, nemi szempontból semleges kritériumok alapján; </w:t>
      </w:r>
      <w:r>
        <w:rPr>
          <w:shd w:val="clear" w:color="auto" w:fill="FFFFFF"/>
        </w:rPr>
        <w:t>a</w:t>
      </w:r>
      <w:r w:rsidRPr="00F45DE5">
        <w:rPr>
          <w:shd w:val="clear" w:color="auto" w:fill="FFFFFF"/>
        </w:rPr>
        <w:t xml:space="preserve"> n</w:t>
      </w:r>
      <w:r w:rsidRPr="00F45DE5">
        <w:rPr>
          <w:rFonts w:ascii="Calibri" w:hAnsi="Calibri" w:cs="Calibri"/>
          <w:shd w:val="clear" w:color="auto" w:fill="FFFFFF"/>
        </w:rPr>
        <w:t>ő</w:t>
      </w:r>
      <w:r w:rsidRPr="00F45DE5">
        <w:rPr>
          <w:shd w:val="clear" w:color="auto" w:fill="FFFFFF"/>
        </w:rPr>
        <w:t>i és férfi munkavállalók arány</w:t>
      </w:r>
      <w:r>
        <w:rPr>
          <w:shd w:val="clear" w:color="auto" w:fill="FFFFFF"/>
        </w:rPr>
        <w:t>át</w:t>
      </w:r>
      <w:r w:rsidRPr="00F45DE5">
        <w:rPr>
          <w:shd w:val="clear" w:color="auto" w:fill="FFFFFF"/>
        </w:rPr>
        <w:t>, akik a szülési vagy apasági szabadságról, szül</w:t>
      </w:r>
      <w:r w:rsidRPr="00F45DE5">
        <w:rPr>
          <w:rFonts w:ascii="Calibri" w:hAnsi="Calibri" w:cs="Calibri"/>
          <w:shd w:val="clear" w:color="auto" w:fill="FFFFFF"/>
        </w:rPr>
        <w:t>ő</w:t>
      </w:r>
      <w:r w:rsidRPr="00F45DE5">
        <w:rPr>
          <w:shd w:val="clear" w:color="auto" w:fill="FFFFFF"/>
        </w:rPr>
        <w:t>i szabadságról vagy gondozói szabadságról való visszatérésüket követ</w:t>
      </w:r>
      <w:r w:rsidRPr="00F45DE5">
        <w:rPr>
          <w:rFonts w:ascii="Calibri" w:hAnsi="Calibri" w:cs="Calibri"/>
          <w:shd w:val="clear" w:color="auto" w:fill="FFFFFF"/>
        </w:rPr>
        <w:t>ő</w:t>
      </w:r>
      <w:r w:rsidRPr="00F45DE5">
        <w:rPr>
          <w:shd w:val="clear" w:color="auto" w:fill="FFFFFF"/>
        </w:rPr>
        <w:t>en béremelésben részesültek, ha béremelés volt a szabadság id</w:t>
      </w:r>
      <w:r w:rsidRPr="00F45DE5">
        <w:rPr>
          <w:rFonts w:ascii="Calibri" w:hAnsi="Calibri" w:cs="Calibri"/>
          <w:shd w:val="clear" w:color="auto" w:fill="FFFFFF"/>
        </w:rPr>
        <w:t>ő</w:t>
      </w:r>
      <w:r w:rsidRPr="00F45DE5">
        <w:rPr>
          <w:shd w:val="clear" w:color="auto" w:fill="FFFFFF"/>
        </w:rPr>
        <w:t>tartama alatt;</w:t>
      </w:r>
      <w:r>
        <w:rPr>
          <w:shd w:val="clear" w:color="auto" w:fill="FFFFFF"/>
        </w:rPr>
        <w:t xml:space="preserve"> </w:t>
      </w:r>
      <w:r w:rsidRPr="00F45DE5">
        <w:rPr>
          <w:shd w:val="clear" w:color="auto" w:fill="FFFFFF"/>
        </w:rPr>
        <w:t xml:space="preserve">a </w:t>
      </w:r>
      <w:r w:rsidR="00BA750C" w:rsidRPr="00F45DE5">
        <w:rPr>
          <w:shd w:val="clear" w:color="auto" w:fill="FFFFFF"/>
        </w:rPr>
        <w:t>díjazási</w:t>
      </w:r>
      <w:r w:rsidRPr="00F45DE5">
        <w:rPr>
          <w:shd w:val="clear" w:color="auto" w:fill="FFFFFF"/>
        </w:rPr>
        <w:t xml:space="preserve"> </w:t>
      </w:r>
      <w:r w:rsidRPr="00F45DE5">
        <w:rPr>
          <w:shd w:val="clear" w:color="auto" w:fill="FFFFFF"/>
        </w:rPr>
        <w:lastRenderedPageBreak/>
        <w:t>különbségek kezelésére intézkedések, ha azok objektív és nemi szempontból semleges kritériumok alapján</w:t>
      </w:r>
      <w:r>
        <w:rPr>
          <w:shd w:val="clear" w:color="auto" w:fill="FFFFFF"/>
        </w:rPr>
        <w:t xml:space="preserve"> nem indokolhatóak; a korábbi közös bérértékelések nyomán hozott intézkedések hatékonyságának az értékelését.</w:t>
      </w:r>
    </w:p>
    <w:p w14:paraId="45F306DC" w14:textId="28F0ED89" w:rsidR="00EF1726" w:rsidRDefault="000B3994" w:rsidP="00156C13">
      <w:pPr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Az irányelv előírja, hogy a tagállamoknak biztosítaniuk kell, hogy a munkáltatók számára rendelkezésekre álljanak olyan konkrét eszközök, képzések és módszertani útmutatók, amelyek segítenek annak a meghatározásában, hogy mi minősül egyenlő értékű munkának. </w:t>
      </w:r>
      <w:r w:rsidR="000B0988">
        <w:rPr>
          <w:shd w:val="clear" w:color="auto" w:fill="FFFFFF"/>
        </w:rPr>
        <w:t>Az irányelv</w:t>
      </w:r>
      <w:r w:rsidR="00BA750C">
        <w:rPr>
          <w:shd w:val="clear" w:color="auto" w:fill="FFFFFF"/>
        </w:rPr>
        <w:t xml:space="preserve"> </w:t>
      </w:r>
      <w:r w:rsidR="000B0988">
        <w:rPr>
          <w:shd w:val="clear" w:color="auto" w:fill="FFFFFF"/>
        </w:rPr>
        <w:t xml:space="preserve">sok mindent foglal magába és rendkívül komplex, igy annak érdekében, hogy zökkenő mentesen és hatékonyan léphessen életbe elengedhetetlen lenne, hogy a munkáltató, a munkavállaló és a munkavállalói képviselők </w:t>
      </w:r>
      <w:r w:rsidR="0022713E">
        <w:rPr>
          <w:shd w:val="clear" w:color="auto" w:fill="FFFFFF"/>
        </w:rPr>
        <w:t xml:space="preserve">is </w:t>
      </w:r>
      <w:r w:rsidR="000B0988">
        <w:rPr>
          <w:shd w:val="clear" w:color="auto" w:fill="FFFFFF"/>
        </w:rPr>
        <w:t>megfelelő képzéseket kapjanak.</w:t>
      </w:r>
      <w:r w:rsidR="0032462C">
        <w:rPr>
          <w:shd w:val="clear" w:color="auto" w:fill="FFFFFF"/>
        </w:rPr>
        <w:t xml:space="preserve"> </w:t>
      </w:r>
      <w:r w:rsidR="0032462C" w:rsidRPr="00BA750C">
        <w:rPr>
          <w:b/>
          <w:bCs/>
          <w:shd w:val="clear" w:color="auto" w:fill="FFFFFF"/>
        </w:rPr>
        <w:t>Az Amnesty International Szervezet ajánlása szerint a munkavállalói képviselőknek szükséges lenne képzéseket tartani a bérszakadék okairól, az irányelv tartalmáról, munkavállaló jogairól, nemi sztereotípiák megjelenéséről és azok következményeiről, a különböző megküzdési stratégiákról és eszközökről, és az érdekképviselethez szükséges eszközökről.</w:t>
      </w:r>
    </w:p>
    <w:p w14:paraId="679C75AE" w14:textId="77777777" w:rsidR="0042346E" w:rsidRDefault="0042346E" w:rsidP="00156C13">
      <w:pPr>
        <w:rPr>
          <w:b/>
          <w:bCs/>
          <w:shd w:val="clear" w:color="auto" w:fill="FFFFFF"/>
        </w:rPr>
      </w:pPr>
    </w:p>
    <w:p w14:paraId="6BE67D5A" w14:textId="03612961" w:rsidR="0042346E" w:rsidRDefault="0042346E" w:rsidP="0042346E">
      <w:pPr>
        <w:jc w:val="center"/>
        <w:rPr>
          <w:b/>
          <w:bCs/>
          <w:shd w:val="clear" w:color="auto" w:fill="FFFFFF"/>
        </w:rPr>
      </w:pPr>
      <w:r>
        <w:rPr>
          <w:b/>
          <w:bCs/>
          <w:noProof/>
          <w:shd w:val="clear" w:color="auto" w:fill="FFFFFF"/>
        </w:rPr>
        <w:drawing>
          <wp:inline distT="0" distB="0" distL="0" distR="0" wp14:anchorId="417D2C21" wp14:editId="7C368054">
            <wp:extent cx="2239118" cy="1260000"/>
            <wp:effectExtent l="0" t="0" r="889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118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2A2BA" w14:textId="77777777" w:rsidR="0042346E" w:rsidRPr="00BA750C" w:rsidRDefault="0042346E" w:rsidP="00156C13">
      <w:pPr>
        <w:rPr>
          <w:b/>
          <w:bCs/>
          <w:shd w:val="clear" w:color="auto" w:fill="FFFFFF"/>
        </w:rPr>
      </w:pPr>
    </w:p>
    <w:p w14:paraId="66280F9C" w14:textId="34DA69F4" w:rsidR="006E4C78" w:rsidRPr="00BA750C" w:rsidRDefault="006E4C78" w:rsidP="00156C13">
      <w:pPr>
        <w:rPr>
          <w:b/>
          <w:bCs/>
          <w:shd w:val="clear" w:color="auto" w:fill="FFFFFF"/>
        </w:rPr>
      </w:pPr>
      <w:r w:rsidRPr="00BA750C">
        <w:rPr>
          <w:b/>
          <w:bCs/>
          <w:shd w:val="clear" w:color="auto" w:fill="FFFFFF"/>
        </w:rPr>
        <w:t xml:space="preserve">Az Amnesty International Szervezet többszinten is támogatja az </w:t>
      </w:r>
      <w:r w:rsidR="0042346E" w:rsidRPr="00BA750C">
        <w:rPr>
          <w:b/>
          <w:bCs/>
          <w:shd w:val="clear" w:color="auto" w:fill="FFFFFF"/>
        </w:rPr>
        <w:t>irányelv eredményes</w:t>
      </w:r>
      <w:r w:rsidRPr="00BA750C">
        <w:rPr>
          <w:b/>
          <w:bCs/>
          <w:shd w:val="clear" w:color="auto" w:fill="FFFFFF"/>
        </w:rPr>
        <w:t xml:space="preserve"> implementációját, igy ezzel az előadással megkezdődött a közös együttműködés szakszervezetünkkel</w:t>
      </w:r>
      <w:r w:rsidR="00CC1525" w:rsidRPr="00BA750C">
        <w:rPr>
          <w:b/>
          <w:bCs/>
          <w:shd w:val="clear" w:color="auto" w:fill="FFFFFF"/>
        </w:rPr>
        <w:t xml:space="preserve"> is. </w:t>
      </w:r>
    </w:p>
    <w:p w14:paraId="1BF56C47" w14:textId="77777777" w:rsidR="00EF1726" w:rsidRDefault="00EF1726" w:rsidP="00156C13"/>
    <w:p w14:paraId="4E5897D0" w14:textId="77777777" w:rsidR="00093FD0" w:rsidRDefault="00093FD0"/>
    <w:p w14:paraId="15FE8B4F" w14:textId="77777777" w:rsidR="00093FD0" w:rsidRDefault="00093FD0"/>
    <w:sectPr w:rsidR="00093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B16F1"/>
    <w:multiLevelType w:val="hybridMultilevel"/>
    <w:tmpl w:val="DDD279F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98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E"/>
    <w:rsid w:val="00054D6B"/>
    <w:rsid w:val="00093FD0"/>
    <w:rsid w:val="000B0988"/>
    <w:rsid w:val="000B3994"/>
    <w:rsid w:val="00156C13"/>
    <w:rsid w:val="00162F4D"/>
    <w:rsid w:val="001E1CAE"/>
    <w:rsid w:val="0022713E"/>
    <w:rsid w:val="002A1327"/>
    <w:rsid w:val="003154F4"/>
    <w:rsid w:val="0032462C"/>
    <w:rsid w:val="00381962"/>
    <w:rsid w:val="003B5A35"/>
    <w:rsid w:val="003F79B7"/>
    <w:rsid w:val="00407009"/>
    <w:rsid w:val="004137B0"/>
    <w:rsid w:val="0042346E"/>
    <w:rsid w:val="00494DB7"/>
    <w:rsid w:val="004B58B5"/>
    <w:rsid w:val="004F4A31"/>
    <w:rsid w:val="00551727"/>
    <w:rsid w:val="00557746"/>
    <w:rsid w:val="00562B0F"/>
    <w:rsid w:val="005C41A3"/>
    <w:rsid w:val="005E1557"/>
    <w:rsid w:val="006E4C78"/>
    <w:rsid w:val="007279AF"/>
    <w:rsid w:val="0073252B"/>
    <w:rsid w:val="00777ABC"/>
    <w:rsid w:val="00793AD1"/>
    <w:rsid w:val="008E7F08"/>
    <w:rsid w:val="00A635EC"/>
    <w:rsid w:val="00A955B6"/>
    <w:rsid w:val="00B36F25"/>
    <w:rsid w:val="00B75E8C"/>
    <w:rsid w:val="00B83F86"/>
    <w:rsid w:val="00BA750C"/>
    <w:rsid w:val="00C51BEC"/>
    <w:rsid w:val="00CA2699"/>
    <w:rsid w:val="00CC1525"/>
    <w:rsid w:val="00CD179F"/>
    <w:rsid w:val="00D2246F"/>
    <w:rsid w:val="00DF38C8"/>
    <w:rsid w:val="00E35EC0"/>
    <w:rsid w:val="00E50746"/>
    <w:rsid w:val="00E96943"/>
    <w:rsid w:val="00EA4E4E"/>
    <w:rsid w:val="00EB0361"/>
    <w:rsid w:val="00EF1726"/>
    <w:rsid w:val="00F45DE5"/>
    <w:rsid w:val="00F54241"/>
    <w:rsid w:val="00F83B64"/>
    <w:rsid w:val="00FA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CCDA"/>
  <w15:chartTrackingRefBased/>
  <w15:docId w15:val="{05DE6AA0-D49C-4965-8DDD-341F9EB2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3FD0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E7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812</Words>
  <Characters>5604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Fliszar</dc:creator>
  <cp:keywords/>
  <dc:description/>
  <cp:lastModifiedBy>Eva Fliszar</cp:lastModifiedBy>
  <cp:revision>38</cp:revision>
  <dcterms:created xsi:type="dcterms:W3CDTF">2025-11-30T16:36:00Z</dcterms:created>
  <dcterms:modified xsi:type="dcterms:W3CDTF">2025-11-30T22:09:00Z</dcterms:modified>
</cp:coreProperties>
</file>